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56"/>
          <w:szCs w:val="56"/>
          <w:u w:val="none"/>
          <w:shd w:fill="auto" w:val="clear"/>
          <w:vertAlign w:val="baseline"/>
          <w:rtl w:val="0"/>
        </w:rPr>
        <w:t xml:space="preserve">Land and Water Conservation Fund</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FEDERAL FY2</w:t>
      </w:r>
      <w:r w:rsidDel="00000000" w:rsidR="00000000" w:rsidRPr="00000000">
        <w:rPr>
          <w:rFonts w:ascii="Times New Roman" w:cs="Times New Roman" w:eastAsia="Times New Roman" w:hAnsi="Times New Roman"/>
          <w:b w:val="1"/>
          <w:sz w:val="40"/>
          <w:szCs w:val="40"/>
          <w:rtl w:val="0"/>
        </w:rPr>
        <w:t xml:space="preserve">2</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GRANT APPLICATION INFORMATION</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2542222</wp:posOffset>
            </wp:positionH>
            <wp:positionV relativeFrom="paragraph">
              <wp:posOffset>148590</wp:posOffset>
            </wp:positionV>
            <wp:extent cx="1828800" cy="1828800"/>
            <wp:effectExtent b="28575" l="28575" r="28575" t="28575"/>
            <wp:wrapNone/>
            <wp:docPr id="104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8800" cy="1828800"/>
                    </a:xfrm>
                    <a:prstGeom prst="rect"/>
                    <a:ln w="28575">
                      <a:solidFill>
                        <a:srgbClr val="F3FD35"/>
                      </a:solidFill>
                      <a:prstDash val="solid"/>
                    </a:ln>
                  </pic:spPr>
                </pic:pic>
              </a:graphicData>
            </a:graphic>
          </wp:anchor>
        </w:drawing>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1194435</wp:posOffset>
            </wp:positionH>
            <wp:positionV relativeFrom="paragraph">
              <wp:posOffset>5890260</wp:posOffset>
            </wp:positionV>
            <wp:extent cx="5230495" cy="2121535"/>
            <wp:effectExtent b="0" l="0" r="0" t="0"/>
            <wp:wrapNone/>
            <wp:docPr id="104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30495" cy="2121535"/>
                    </a:xfrm>
                    <a:prstGeom prst="rect"/>
                    <a:ln/>
                  </pic:spPr>
                </pic:pic>
              </a:graphicData>
            </a:graphic>
          </wp:anchor>
        </w:drawing>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1194435</wp:posOffset>
            </wp:positionH>
            <wp:positionV relativeFrom="paragraph">
              <wp:posOffset>5890260</wp:posOffset>
            </wp:positionV>
            <wp:extent cx="5230495" cy="2121535"/>
            <wp:effectExtent b="0" l="0" r="0" t="0"/>
            <wp:wrapNone/>
            <wp:docPr id="104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30495" cy="2121535"/>
                    </a:xfrm>
                    <a:prstGeom prst="rect"/>
                    <a:ln/>
                  </pic:spPr>
                </pic:pic>
              </a:graphicData>
            </a:graphic>
          </wp:anchor>
        </w:drawing>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114300" distR="114300">
            <wp:extent cx="4574540" cy="1386840"/>
            <wp:effectExtent b="0" l="0" r="0" t="0"/>
            <wp:docPr descr="DNR_logo_final.jpg" id="1042" name="image3.jpg"/>
            <a:graphic>
              <a:graphicData uri="http://schemas.openxmlformats.org/drawingml/2006/picture">
                <pic:pic>
                  <pic:nvPicPr>
                    <pic:cNvPr descr="DNR_logo_final.jpg" id="0" name="image3.jpg"/>
                    <pic:cNvPicPr preferRelativeResize="0"/>
                  </pic:nvPicPr>
                  <pic:blipFill>
                    <a:blip r:embed="rId9"/>
                    <a:srcRect b="0" l="0" r="0" t="0"/>
                    <a:stretch>
                      <a:fillRect/>
                    </a:stretch>
                  </pic:blipFill>
                  <pic:spPr>
                    <a:xfrm>
                      <a:off x="0" y="0"/>
                      <a:ext cx="4574540" cy="138684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LAND AND WATER CONSERVATION FUND</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BACKGROUND</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Authorized by the United States Congress and signed into law by President Lyndon Johnson, 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Act of 1965 established a federally funded program to provide 50/50 matching grants to state and local governments for the purpose of acquiring and/or developing public outdoor recreational areas and facilities. The program is administered nationally by the United States Department of the Interior, </w:t>
      </w:r>
      <w:r w:rsidDel="00000000" w:rsidR="00000000" w:rsidRPr="00000000">
        <w:rPr>
          <w:rFonts w:ascii="Times New Roman" w:cs="Times New Roman" w:eastAsia="Times New Roman" w:hAnsi="Times New Roman"/>
          <w:sz w:val="24"/>
          <w:szCs w:val="24"/>
          <w:highlight w:val="white"/>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with the supporting revenues generated from offshore oil and gas leases. 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intended to create and maintain a nationwide legacy of quality public outdoor recreational resources as well as to stimulate non-federal investments in the purchase, development, maintenance and protection of these highly valued outdoor recreational areas. Per section 6(f)(3) of 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Act, “No property acquired or developed with assistance under this section shall, without the approval of the Secretary of the Department of the Interior, be converted to other than public outdoor recreation uses.”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managed at the state level, by the state governments. In order to be eligible to receive a program apportionment from the </w:t>
      </w:r>
      <w:r w:rsidDel="00000000" w:rsidR="00000000" w:rsidRPr="00000000">
        <w:rPr>
          <w:rFonts w:ascii="Times New Roman" w:cs="Times New Roman" w:eastAsia="Times New Roman" w:hAnsi="Times New Roman"/>
          <w:sz w:val="24"/>
          <w:szCs w:val="24"/>
          <w:highlight w:val="white"/>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each state must develop and maintain a Statewide Comprehensive Outdoor Recreation Plan and appoint an official State Liaison Officer.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eligible projects must reflect the states’ policies and priorities of its most current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Statewide Comprehensive Outdoor Recreation Plan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Maryland this plan is the Maryland Land Preservation and Recreation Plan. Municipalities and counties may apply for up to 50 percent matching fund assistance from the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Maryland, the </w:t>
      </w:r>
      <w:r w:rsidDel="00000000" w:rsidR="00000000" w:rsidRPr="00000000">
        <w:rPr>
          <w:rFonts w:ascii="Times New Roman" w:cs="Times New Roman" w:eastAsia="Times New Roman" w:hAnsi="Times New Roman"/>
          <w:sz w:val="24"/>
          <w:szCs w:val="24"/>
          <w:highlight w:val="white"/>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Land Acquisition and Planning Unit, is responsible for managing the program, coordinating grant rounds for project funding, and monitoring past project sites for program compliance in Maryland.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Since its inception, 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program has funded over 400 acquisition and development projects throughout the state of Maryland.</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SUBMISSION INFORMATION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Grant Round Federal F</w:t>
      </w:r>
      <w:r w:rsidDel="00000000" w:rsidR="00000000" w:rsidRPr="00000000">
        <w:rPr>
          <w:rFonts w:ascii="Times New Roman" w:cs="Times New Roman" w:eastAsia="Times New Roman" w:hAnsi="Times New Roman"/>
          <w:i w:val="1"/>
          <w:sz w:val="24"/>
          <w:szCs w:val="24"/>
          <w:rtl w:val="0"/>
        </w:rPr>
        <w:t xml:space="preserve">FY22</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 now accepting Preliminary Application forms for Grant Round Federal </w:t>
      </w:r>
      <w:r w:rsidDel="00000000" w:rsidR="00000000" w:rsidRPr="00000000">
        <w:rPr>
          <w:rFonts w:ascii="Times New Roman" w:cs="Times New Roman" w:eastAsia="Times New Roman" w:hAnsi="Times New Roman"/>
          <w:sz w:val="24"/>
          <w:szCs w:val="24"/>
          <w:highlight w:val="white"/>
          <w:rtl w:val="0"/>
        </w:rPr>
        <w:t xml:space="preserve">FY22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Preliminary Applications are due by 5 p.m., </w:t>
      </w:r>
      <w:r w:rsidDel="00000000" w:rsidR="00000000" w:rsidRPr="00000000">
        <w:rPr>
          <w:rFonts w:ascii="Times New Roman" w:cs="Times New Roman" w:eastAsia="Times New Roman" w:hAnsi="Times New Roman"/>
          <w:sz w:val="24"/>
          <w:szCs w:val="24"/>
          <w:highlight w:val="white"/>
          <w:rtl w:val="0"/>
        </w:rPr>
        <w:t xml:space="preserve">November 1, 2022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Municipalities and counties are eligible for up to a 50 percent matching fund assistance from the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Open Space Local funds or Community Parks and Playground grant funds may be used as the match. If using Program Open Space Local funds as match for a development project, please note that county match requirements will apply. The maximum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grant request is $1,000,000 ($2,000,000 m</w:t>
      </w:r>
      <w:r w:rsidDel="00000000" w:rsidR="00000000" w:rsidRPr="00000000">
        <w:rPr>
          <w:rFonts w:ascii="Times New Roman" w:cs="Times New Roman" w:eastAsia="Times New Roman" w:hAnsi="Times New Roman"/>
          <w:sz w:val="24"/>
          <w:szCs w:val="24"/>
          <w:rtl w:val="0"/>
        </w:rPr>
        <w:t xml:space="preserve">ax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imum total project cost) and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minimum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grant request is $50,000 ($100,000 minimum total project cost). Exceptions may be granted by the Department in certain circumstances based on project applications received and available grant funds.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Upon receipt, preliminary applications will be reviewed to determine eligibility and scored with Maryland</w:t>
      </w:r>
      <w:r w:rsidDel="00000000" w:rsidR="00000000" w:rsidRPr="00000000">
        <w:rPr>
          <w:rFonts w:ascii="Times New Roman" w:cs="Times New Roman" w:eastAsia="Times New Roman" w:hAnsi="Times New Roman"/>
          <w:sz w:val="24"/>
          <w:szCs w:val="24"/>
          <w:highlight w:val="white"/>
          <w:rtl w:val="0"/>
        </w:rPr>
        <w:t xml:space="preserve">’s approved Open Project Selection Process (OPSP)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MD DNR will invite those applications with the highest grant score to officially apply for LWCF assistance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the applicant will be required to sign an agreement with </w:t>
      </w:r>
      <w:r w:rsidDel="00000000" w:rsidR="00000000" w:rsidRPr="00000000">
        <w:rPr>
          <w:rFonts w:ascii="Times New Roman" w:cs="Times New Roman" w:eastAsia="Times New Roman" w:hAnsi="Times New Roman"/>
          <w:sz w:val="24"/>
          <w:szCs w:val="24"/>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acknowledges responsibility for compliance with the Land and Water Conservation Act of 1965; signing this agreement is a condition for DNR to submit the application to the </w:t>
      </w:r>
      <w:r w:rsidDel="00000000" w:rsidR="00000000" w:rsidRPr="00000000">
        <w:rPr>
          <w:rFonts w:ascii="Times New Roman" w:cs="Times New Roman" w:eastAsia="Times New Roman" w:hAnsi="Times New Roman"/>
          <w:sz w:val="24"/>
          <w:szCs w:val="24"/>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review project applications, and if approved for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will provide a project start date.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Applicants should be aware that development and acquisition projects must be completed within three years from the provided start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Only expenditures incurred within the approved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 period are eligible for reimbursement. Grantees do not receive funds at the time of approval. The applicant must incur 100 percent of the total project cost; submit evidence of eligible expenditures throughout project implementation and payment thereof; and request reimbursement from </w:t>
      </w:r>
      <w:r w:rsidDel="00000000" w:rsidR="00000000" w:rsidRPr="00000000">
        <w:rPr>
          <w:rFonts w:ascii="Times New Roman" w:cs="Times New Roman" w:eastAsia="Times New Roman" w:hAnsi="Times New Roman"/>
          <w:sz w:val="24"/>
          <w:szCs w:val="24"/>
          <w:rtl w:val="0"/>
        </w:rPr>
        <w:t xml:space="preserve">MD DNR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project has been completed and </w:t>
      </w:r>
      <w:r w:rsidDel="00000000" w:rsidR="00000000" w:rsidRPr="00000000">
        <w:rPr>
          <w:rFonts w:ascii="Times New Roman" w:cs="Times New Roman" w:eastAsia="Times New Roman" w:hAnsi="Times New Roman"/>
          <w:sz w:val="24"/>
          <w:szCs w:val="24"/>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officially closed the grant. Expenses incurred prior to authorization of 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agreement or after the expiration date are ineligible for reimbursement. </w:t>
        <w:br w:type="textWrapping"/>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Eligible Project Types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Projects must be in direct support of public outdoor recreational uses of related properties and/or facilities. Projects must support State Land Preservation and Recreation Plan goals (listed at the end of this information packet). Eligible project types are as follows: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Eligible Projects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is available to public jurisdictions for:</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 acquisitions for the use of public outdoor recreation, which includes purchase of fee simple title of property for public use. This can be acquisition of abutting land to an existing developed recreational area, or undeveloped property to establish a new outdoor recreational area. Acquisitions using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must be open to the public within three years of purchase date.</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Development/rehabilitation projects for the use of public outdoor recreation. This includes new amenities/facilities or renovation/improvements of existing outdoor recreation facilities, including design and construction work. Multiple development projects at the same park may be applied for under one grant application.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Eligible Cost Examples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There is no complete list of eligible project costs; please see the </w:t>
      </w:r>
      <w:r w:rsidDel="00000000" w:rsidR="00000000" w:rsidRPr="00000000">
        <w:rPr>
          <w:rFonts w:ascii="Times New Roman" w:cs="Times New Roman" w:eastAsia="Times New Roman" w:hAnsi="Times New Roman"/>
          <w:i w:val="1"/>
          <w:sz w:val="24"/>
          <w:szCs w:val="24"/>
          <w:rtl w:val="0"/>
        </w:rPr>
        <w:t xml:space="preserve">LWCF</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Grant Manual for more details):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Trails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Swimming and boating facilities </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 purchase for public outdoor recreation</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Picnic facilities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Camping facilities</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Fishing and hunting facilities</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 study and wildlife watching facilities</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 fields (e.g., soccer fields, tennis courts, basketball courts, softball fields)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Ineligible Cost Examples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 purchase primarily for historic sites and historic preservation</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Restoration of historic structures</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Facilities such as recreation centers, gymnasiums, or indoor pools for public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indoor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Museum maintenance or archaeological excavations</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Projects on school sites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Athletic fields/facilities for semi-professional or professional athletes</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Sites containing luxury lodges, hotels, restaurants</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Agricultural land or any commercial leases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Incidental costs relating to acquisition</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Indirect costs and/or administrative fees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Maryland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 of Natural Resources,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Land and Water Conservation Fund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Competitive Grant Scoring:</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award through the </w:t>
      </w:r>
      <w:r w:rsidDel="00000000" w:rsidR="00000000" w:rsidRPr="00000000">
        <w:rPr>
          <w:rFonts w:ascii="Times New Roman" w:cs="Times New Roman" w:eastAsia="Times New Roman" w:hAnsi="Times New Roman"/>
          <w:sz w:val="24"/>
          <w:szCs w:val="24"/>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focuses on awarding funding to projects based on, but not limited to, the following:</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Projects that are ready to proceed immediately should funding be approved by the </w:t>
      </w:r>
      <w:r w:rsidDel="00000000" w:rsidR="00000000" w:rsidRPr="00000000">
        <w:rPr>
          <w:rFonts w:ascii="Times New Roman" w:cs="Times New Roman" w:eastAsia="Times New Roman" w:hAnsi="Times New Roman"/>
          <w:sz w:val="24"/>
          <w:szCs w:val="24"/>
          <w:highlight w:val="white"/>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receive a higher competitive score.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Projects that align with specific goals and needs-based planning objectives from the 20</w:t>
      </w: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County Land Preservation, Parks, and Recreation Plans will receive a higher competitive score.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Projects in counties that had a timely submission of the 20</w:t>
      </w: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County Land Preservation, Parks, and Recreation Plans will receive a higher competitive score.</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Projects that have a realistic timeline will receive a higher competitive score.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Projects that provide natural resource conservation and ecological value, on top of the outdoor recreational value, will receive a higher competitive score.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Projects that provide outdoor recreation amenities in high demand throughout the State of Maryland, such as water access and trails, will receive a higher competitive score.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Applicant jurisdictions that spend their Program Open Space Local funds in a timely manner will receive a higher competitive score.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Scoring will be influenced if jurisdictions have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conversions in process.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Perpetuity Requirements</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major goal of the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is to increase the number of protected state and local outdoor recreation resources and to ensure their availability for public use in perpetuity. As stated in Section 6(f)(3) of the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 of 1965, sites receiving assistance are to be opened, operated, and maintained in perpetuity for “public outdoor recreation use,” or be replaced by lands of equal market value and recreation usefulness. All applicants should read the program compliance requirements in the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Manual. The 6(f)(3) boundary is the legal description, metes and bounds, of the area that is being protected in perpetuity by Section 6(f)(3) of the </w:t>
      </w:r>
      <w:r w:rsidDel="00000000" w:rsidR="00000000" w:rsidRPr="00000000">
        <w:rPr>
          <w:rFonts w:ascii="Times New Roman" w:cs="Times New Roman" w:eastAsia="Times New Roman" w:hAnsi="Times New Roman"/>
          <w:sz w:val="24"/>
          <w:szCs w:val="24"/>
          <w:rtl w:val="0"/>
        </w:rPr>
        <w:t xml:space="preserve">Land and Water Conservation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Act of 1965. Section 6(f)(3) states that the property acquired, developed or improved with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shall not be converted to uses other than public outdoor recreation. The 6(f) boundary map goes on record with the locality, </w:t>
      </w:r>
      <w:r w:rsidDel="00000000" w:rsidR="00000000" w:rsidRPr="00000000">
        <w:rPr>
          <w:rFonts w:ascii="Times New Roman" w:cs="Times New Roman" w:eastAsia="Times New Roman" w:hAnsi="Times New Roman"/>
          <w:sz w:val="24"/>
          <w:szCs w:val="24"/>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sz w:val="24"/>
          <w:szCs w:val="24"/>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showing the area being placed under protection of the Land and Water Conservation Act.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In most instances, the 6(f) boundary falls under an entire park being acquired or developed with </w:t>
      </w:r>
      <w:r w:rsidDel="00000000" w:rsidR="00000000" w:rsidRPr="00000000">
        <w:rPr>
          <w:rFonts w:ascii="Times New Roman" w:cs="Times New Roman" w:eastAsia="Times New Roman" w:hAnsi="Times New Roman"/>
          <w:sz w:val="24"/>
          <w:szCs w:val="24"/>
          <w:highlight w:val="white"/>
          <w:u w:val="single"/>
          <w:rtl w:val="0"/>
        </w:rPr>
        <w:t xml:space="preserve">LWCF</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assistance funds.</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and dated copies of the Section 6(f) map are required from all recipients of grant funds. Recipients of grant funds will also be required to record in the deed of the property that the area is protected through Section 6(f) of the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1965. Deed wording will be provided to appropriate grant recipients. </w:t>
        <w:br w:type="textWrapping"/>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TO COMPETE FOR A LWCF GRANT AWARD</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Read this Competitive Grant Information Packet and review the </w:t>
      </w:r>
      <w:hyperlink r:id="rId10">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20</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21</w:t>
        </w:r>
      </w:hyperlink>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 LWCF Manual</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color w:val="000000"/>
          <w:sz w:val="22"/>
          <w:szCs w:val="22"/>
          <w:u w:val="none"/>
          <w:rtl w:val="0"/>
        </w:rPr>
        <w:t xml:space="preserve">https://www.nps.gov/subjects/lwcf/upload/LWCF-FA-Manual-Vol-71-3-11-2021-final.pdf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needed. The Manual includes details about the program, grant eligibility, program rules and regulations, and examples of eligible projects.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Complete the ‘Preliminary Application’ application form. Email application form and required documents to </w:t>
      </w:r>
      <w:r w:rsidDel="00000000" w:rsidR="00000000" w:rsidRPr="00000000">
        <w:rPr>
          <w:rFonts w:ascii="Times New Roman" w:cs="Times New Roman" w:eastAsia="Times New Roman" w:hAnsi="Times New Roman"/>
          <w:color w:val="000000"/>
          <w:sz w:val="24"/>
          <w:szCs w:val="24"/>
          <w:u w:val="none"/>
          <w:rtl w:val="0"/>
        </w:rPr>
        <w:t xml:space="preserve">andrew.mengel@maryland.gov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subject ‘LWCF Federal F</w:t>
      </w:r>
      <w:r w:rsidDel="00000000" w:rsidR="00000000" w:rsidRPr="00000000">
        <w:rPr>
          <w:rFonts w:ascii="Times New Roman" w:cs="Times New Roman" w:eastAsia="Times New Roman" w:hAnsi="Times New Roman"/>
          <w:sz w:val="24"/>
          <w:szCs w:val="24"/>
          <w:rtl w:val="0"/>
        </w:rPr>
        <w:t xml:space="preserve">FY22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your jurisdiction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 title of project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Due date is </w:t>
      </w:r>
      <w:r w:rsidDel="00000000" w:rsidR="00000000" w:rsidRPr="00000000">
        <w:rPr>
          <w:rFonts w:ascii="Times New Roman" w:cs="Times New Roman" w:eastAsia="Times New Roman" w:hAnsi="Times New Roman"/>
          <w:sz w:val="24"/>
          <w:szCs w:val="24"/>
          <w:rtl w:val="0"/>
        </w:rPr>
        <w:t xml:space="preserve">November 1, 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5p.m.</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make selection decisions</w:t>
      </w:r>
      <w:r w:rsidDel="00000000" w:rsidR="00000000" w:rsidRPr="00000000">
        <w:rPr>
          <w:rFonts w:ascii="Times New Roman" w:cs="Times New Roman" w:eastAsia="Times New Roman" w:hAnsi="Times New Roman"/>
          <w:sz w:val="24"/>
          <w:szCs w:val="24"/>
          <w:rtl w:val="0"/>
        </w:rPr>
        <w:t xml:space="preserve"> when NPS allows for the submission of new grant applications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MD DNR will reach out to schedule a site visit for those projects considered for funding.</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Points to Remember </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Projects are reviewed in accordance with the intent of the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the grant focus, state and federal grant requirements, need, and the scoring criteria. </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Projects are reviewed for consistency with the Maryland Land Preservation and Recreation Plan.</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eliminate all those applications that are ineligible, incomplete, or do not follow grant cycle instructions. </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any questions, please contact </w:t>
      </w:r>
      <w:r w:rsidDel="00000000" w:rsidR="00000000" w:rsidRPr="00000000">
        <w:rPr>
          <w:rFonts w:ascii="Times New Roman" w:cs="Times New Roman" w:eastAsia="Times New Roman" w:hAnsi="Times New Roman"/>
          <w:sz w:val="24"/>
          <w:szCs w:val="24"/>
          <w:rtl w:val="0"/>
        </w:rPr>
        <w:t xml:space="preserve">Andrew Mengel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w:t>
      </w:r>
      <w:r w:rsidDel="00000000" w:rsidR="00000000" w:rsidRPr="00000000">
        <w:rPr>
          <w:rFonts w:ascii="Times New Roman" w:cs="Times New Roman" w:eastAsia="Times New Roman" w:hAnsi="Times New Roman"/>
          <w:color w:val="000000"/>
          <w:sz w:val="24"/>
          <w:szCs w:val="24"/>
          <w:u w:val="none"/>
          <w:rtl w:val="0"/>
        </w:rPr>
        <w:t xml:space="preserve">andrew.mengel@maryland.gov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at</w:t>
      </w:r>
      <w:r w:rsidDel="00000000" w:rsidR="00000000" w:rsidRPr="00000000">
        <w:rPr>
          <w:rFonts w:ascii="Times New Roman" w:cs="Times New Roman" w:eastAsia="Times New Roman" w:hAnsi="Times New Roman"/>
          <w:sz w:val="24"/>
          <w:szCs w:val="24"/>
          <w:rtl w:val="0"/>
        </w:rPr>
        <w:t xml:space="preserve"> 443-569-2827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SUMMARY OF LWCF GRANTEE COMPLIANCE AND COMMITMENTS:</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Properties acquired, improved or developed with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must be open, maintained and operated in perpetuity for public outdoor recreation. Other commitments include proper maintenance and operation, nondiscrimination, posting a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Acknowledgement sign, and maintaining the integrity of the 6(f)(3) protected area boundary.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Acceptance of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funding requires the grant recipient to assume responsibility for compliance with the Land and Water Conservation Act of 1965 and the program requirements therein, as well as all applicable Federal, State and Local laws. In signing 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agreement with the </w:t>
      </w:r>
      <w:r w:rsidDel="00000000" w:rsidR="00000000" w:rsidRPr="00000000">
        <w:rPr>
          <w:rFonts w:ascii="Times New Roman" w:cs="Times New Roman" w:eastAsia="Times New Roman" w:hAnsi="Times New Roman"/>
          <w:sz w:val="24"/>
          <w:szCs w:val="24"/>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your project has been selected for funding), the applicant accepts the responsibility for compliance including the consequences of non-compliance. In most instances the 6(f) boundary falls under an entire park being acquired or developed with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funds, meaning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compliance commitments are required in perpetuity over the entire park boundary.</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Outdoor Recreation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 perpetuity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Lands acquired and/or developed with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funds must be opened to the public and maintained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perpetuity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public outdoor recreation. In rare instances, a portion of a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site may be converted to another use with permission of the </w:t>
      </w:r>
      <w:r w:rsidDel="00000000" w:rsidR="00000000" w:rsidRPr="00000000">
        <w:rPr>
          <w:rFonts w:ascii="Times New Roman" w:cs="Times New Roman" w:eastAsia="Times New Roman" w:hAnsi="Times New Roman"/>
          <w:sz w:val="24"/>
          <w:szCs w:val="24"/>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approval of the </w:t>
      </w:r>
      <w:r w:rsidDel="00000000" w:rsidR="00000000" w:rsidRPr="00000000">
        <w:rPr>
          <w:rFonts w:ascii="Times New Roman" w:cs="Times New Roman" w:eastAsia="Times New Roman" w:hAnsi="Times New Roman"/>
          <w:sz w:val="24"/>
          <w:szCs w:val="24"/>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instances where there is no feasible alternative to converting, either in full or in part, the protected area, Section 6(f) of the federal Land and Water Conservation Act of 1965 is triggered. This section requires that a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conversion of use process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initiated to seek approval from the </w:t>
      </w:r>
      <w:r w:rsidDel="00000000" w:rsidR="00000000" w:rsidRPr="00000000">
        <w:rPr>
          <w:rFonts w:ascii="Times New Roman" w:cs="Times New Roman" w:eastAsia="Times New Roman" w:hAnsi="Times New Roman"/>
          <w:sz w:val="24"/>
          <w:szCs w:val="24"/>
          <w:highlight w:val="white"/>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conversion. Conversions are not a right. Alternatives to impacting the protected area must be investigated and evidence given that there is no feasible alternative. Conversions are situation specific and decided on a case by case basis. In all cases, the grantee will be required to develop an environmental assessment for the conversion project and purchase replacement property of equal or greater fair market value and equal or greater recreational usefulness as a replacement. The process involves many steps and takes, at a minimum, one year from initiation by the grantee with </w:t>
      </w:r>
      <w:r w:rsidDel="00000000" w:rsidR="00000000" w:rsidRPr="00000000">
        <w:rPr>
          <w:rFonts w:ascii="Times New Roman" w:cs="Times New Roman" w:eastAsia="Times New Roman" w:hAnsi="Times New Roman"/>
          <w:sz w:val="24"/>
          <w:szCs w:val="24"/>
          <w:highlight w:val="white"/>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formal approval by the </w:t>
      </w:r>
      <w:r w:rsidDel="00000000" w:rsidR="00000000" w:rsidRPr="00000000">
        <w:rPr>
          <w:rFonts w:ascii="Times New Roman" w:cs="Times New Roman" w:eastAsia="Times New Roman" w:hAnsi="Times New Roman"/>
          <w:sz w:val="24"/>
          <w:szCs w:val="24"/>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Environmental, Historical and Cultural Resources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All projects must comply with the </w:t>
      </w:r>
      <w:r w:rsidDel="00000000" w:rsidR="00000000" w:rsidRPr="00000000">
        <w:rPr>
          <w:rFonts w:ascii="Times New Roman" w:cs="Times New Roman" w:eastAsia="Times New Roman" w:hAnsi="Times New Roman"/>
          <w:sz w:val="24"/>
          <w:szCs w:val="24"/>
          <w:rtl w:val="0"/>
        </w:rPr>
        <w:t xml:space="preserve">NEPA,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Endangered Species Act and the Historic Preservation Act. All projects carry potential impacts to the environment (stream sedimentation, noxious weeds, wildlife displacement, habitat fragmentation, visual, potential noise, etc.). In addition to demonstrating compliance with the Endangered Species Act and Historic Preservation Act, all conversions and some acquisition/development projects require an Environmental Assessment document for </w:t>
      </w:r>
      <w:r w:rsidDel="00000000" w:rsidR="00000000" w:rsidRPr="00000000">
        <w:rPr>
          <w:rFonts w:ascii="Times New Roman" w:cs="Times New Roman" w:eastAsia="Times New Roman" w:hAnsi="Times New Roman"/>
          <w:sz w:val="24"/>
          <w:szCs w:val="24"/>
          <w:rtl w:val="0"/>
        </w:rPr>
        <w:t xml:space="preserve">NEPA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compliance. This document is submitted as part of the package the </w:t>
      </w:r>
      <w:r w:rsidDel="00000000" w:rsidR="00000000" w:rsidRPr="00000000">
        <w:rPr>
          <w:rFonts w:ascii="Times New Roman" w:cs="Times New Roman" w:eastAsia="Times New Roman" w:hAnsi="Times New Roman"/>
          <w:sz w:val="24"/>
          <w:szCs w:val="24"/>
          <w:highlight w:val="white"/>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requires for approval.</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Comment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Solicitation of public comment is required for all applications.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Compliance with the Americans with Disabilities Act (ADA)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All projects must comply with ADA. All projects must be accessible to (and usable by) disabled citizens. The intent is to enable disabled citizens to participate in outdoor recreation activities in a way that parallels as closely as possible with participation of non-disabled citizens</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Overhead Power Lines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Overhead lines (both electrical or communication) must be installed underground; and you can use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funds to remove, relocate, or bury overhead power lines for beautification of outdoor recreation area</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Procurement, Contracts and Bidding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Grantees receiving federal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assistance must comply with all applicable local, state and federal requirements regarding contracts and bidding.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Quarterly Reports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grantees are required to submit quarterly performance status reports during the life of the grant.</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Expenditures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sz w:val="24"/>
          <w:szCs w:val="24"/>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is a 50-50 matching reimbursement program. The applicant must incur 100 percent of the total project cost; submit evidence of eligible expenditures throughout project implementation and payment thereof; and request reimbursement from </w:t>
      </w:r>
      <w:r w:rsidDel="00000000" w:rsidR="00000000" w:rsidRPr="00000000">
        <w:rPr>
          <w:rFonts w:ascii="Times New Roman" w:cs="Times New Roman" w:eastAsia="Times New Roman" w:hAnsi="Times New Roman"/>
          <w:sz w:val="24"/>
          <w:szCs w:val="24"/>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the project has been completed and </w:t>
      </w:r>
      <w:r w:rsidDel="00000000" w:rsidR="00000000" w:rsidRPr="00000000">
        <w:rPr>
          <w:rFonts w:ascii="Times New Roman" w:cs="Times New Roman" w:eastAsia="Times New Roman" w:hAnsi="Times New Roman"/>
          <w:sz w:val="24"/>
          <w:szCs w:val="24"/>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officially closed the grant. All grantees are required to submit quarterly financial invoices throughout the life of the grant. Only expenditures incurred within the approved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project period are eligible for reimbursement. Expenses incurred prior to authorization of 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agreement or after the expiration date are ineligible for reimbursement.</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Acknowledgment 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requires that all recreation areas assisted by the program post an acknowledgement. See sign requirements at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https://www.nps.gov/subjects/lwcf/lwcf-manual.htm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Restrictive Deed Wording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Section 6(f)(3) of the Land and Water Conservation Act states that: “No property acquired or developed with assistance under this section shall without approval of the Secretary [of the Interior] be converted to other than public outdoor recreation uses.” 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realizes that in certain instances there is no alternative to converting a portion of a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property. In those extreme cases where there is no alternative, the grantee must begin a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conversion of use proces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with </w:t>
      </w:r>
      <w:r w:rsidDel="00000000" w:rsidR="00000000" w:rsidRPr="00000000">
        <w:rPr>
          <w:rFonts w:ascii="Times New Roman" w:cs="Times New Roman" w:eastAsia="Times New Roman" w:hAnsi="Times New Roman"/>
          <w:sz w:val="24"/>
          <w:szCs w:val="24"/>
          <w:highlight w:val="white"/>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short, the conversion of use process requires that a suitable piece of replacement property be found before a conversion occurs at a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site. “Suitable” means equivalent in fair market value and can serve as a viable public outdoor recreation area without reliance upon adjoining or additional areas.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Retention of Records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All documents related to the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should be retained in perpetuity. These papers include project agreements, correspondence, deeds, </w:t>
      </w:r>
      <w:r w:rsidDel="00000000" w:rsidR="00000000" w:rsidRPr="00000000">
        <w:rPr>
          <w:rFonts w:ascii="Times New Roman" w:cs="Times New Roman" w:eastAsia="Times New Roman" w:hAnsi="Times New Roman"/>
          <w:sz w:val="24"/>
          <w:szCs w:val="24"/>
          <w:rtl w:val="0"/>
        </w:rPr>
        <w:t xml:space="preserve">as-built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plans, inquiries regarding proposed changes at the park, the legal Section 6(f) metes and bounds map, and grant application materials. Also all financial records, and documents used for verifying your reimbursement including bid information must be retained for a period of three years with the following qualifications:</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litigation, claim, or audit is started prior to the expiration of the three years, the records shall be retained until all such actions have been resolved.</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Records for non-expendable property acquired with fund assistance shall be retained three years after its final disposition.</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Operation and 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All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assisted areas must be open to the public (everyone) during reasonable hours of operation, preferably from sunrise to sunset.</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Maintenance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assisted properties must receive regular maintenance to ensure continuing public use in a safe and sanitary manner.</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Reasonable user fees may be charged to offset operation and maintenance costs. A higher fee to non-residents may be charged as long as the higher fee is realistic, comparable to what is charged at other local parks, does not preclude use by non-residents and is no more than twice the residential fees.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Inspections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Inspections are regularly performed on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assisted areas to monitor the project grantee compliance with program requirements. Recreation areas found in non-compliance will be notified in writing of the problems and a time frame for remediation. In </w:t>
      </w:r>
      <w:r w:rsidDel="00000000" w:rsidR="00000000" w:rsidRPr="00000000">
        <w:rPr>
          <w:rFonts w:ascii="Times New Roman" w:cs="Times New Roman" w:eastAsia="Times New Roman" w:hAnsi="Times New Roman"/>
          <w:sz w:val="24"/>
          <w:szCs w:val="24"/>
          <w:rtl w:val="0"/>
        </w:rPr>
        <w:t xml:space="preserve">cases where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inspections discover conversions of use, the </w:t>
      </w:r>
      <w:r w:rsidDel="00000000" w:rsidR="00000000" w:rsidRPr="00000000">
        <w:rPr>
          <w:rFonts w:ascii="Times New Roman" w:cs="Times New Roman" w:eastAsia="Times New Roman" w:hAnsi="Times New Roman"/>
          <w:sz w:val="24"/>
          <w:szCs w:val="24"/>
          <w:highlight w:val="white"/>
          <w:rtl w:val="0"/>
        </w:rPr>
        <w:t xml:space="preserve">MD DNR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in consultation with the </w:t>
      </w:r>
      <w:r w:rsidDel="00000000" w:rsidR="00000000" w:rsidRPr="00000000">
        <w:rPr>
          <w:rFonts w:ascii="Times New Roman" w:cs="Times New Roman" w:eastAsia="Times New Roman" w:hAnsi="Times New Roman"/>
          <w:sz w:val="24"/>
          <w:szCs w:val="24"/>
          <w:highlight w:val="white"/>
          <w:rtl w:val="0"/>
        </w:rPr>
        <w:t xml:space="preserve">NPS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provide direction to the grantee on the </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Conversion of Use process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 time frame for initiating it.</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INFORMATION</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Maryland Land Preservation and Recreation Plan:</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color w:val="1155cc"/>
            <w:sz w:val="24"/>
            <w:szCs w:val="24"/>
            <w:u w:val="single"/>
            <w:rtl w:val="0"/>
          </w:rPr>
          <w:t xml:space="preserve">https://dnr.maryland.gov/land/Pages/Stewardship/LPRP-2019-2023.aspx</w:t>
        </w:r>
      </w:hyperlink>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Parks Service, Land and Water Conservation Fund 20</w:t>
      </w: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Manual:</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Times New Roman" w:cs="Times New Roman" w:eastAsia="Times New Roman" w:hAnsi="Times New Roman"/>
            <w:color w:val="1155cc"/>
            <w:sz w:val="24"/>
            <w:szCs w:val="24"/>
            <w:u w:val="single"/>
            <w:rtl w:val="0"/>
          </w:rPr>
          <w:t xml:space="preserve">https://www.nps.gov/subjects/lwcf/upload/LWCF-FA-Manual-Vol-71-3-11-2021-final.pdf</w:t>
        </w:r>
      </w:hyperlink>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 Goals for Recreation, Parks, and Open Space from Maryland’s 2019 – 2023 Land Preservation and Recreation Plan</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 One: Coordination and Collaboration</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Strengthen coordination and collaboration between federal, state, and local government agencies and other key stakeholders in planning for the provision of outdoor recreation opportunities and land conservation initiatives.</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 2: Promote the Benefits of Outdoor Recreation and Conservation of Natural Lands</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the economic, cultural, health, and environmental benefits of outdoor recreation and conservation of natural lands. Seek to increase the public's understanding of these benefits to enhance interest and participation in recreating outdoors in Maryland.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 3: Increase Access to Open Spaces and Waterfronts</w:t>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and improve opportunities for all segments of the population to access land and water-based outdoor recreation opportunities.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 4: Improve What’s Already Available</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 the overall quality of outdoor recreation infrastructure at public parks and outdoor areas across the state.</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 5: Develop an Informed Stewardship Culture</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environmental education and use of parks and outdoor areas as teaching tools to foster a positive stewardship ethos among children, youth, and their families.</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Program Open Space Compliance with Federal, State, and Local Laws</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Local governing bodies applying for </w:t>
      </w:r>
      <w:r w:rsidDel="00000000" w:rsidR="00000000" w:rsidRPr="00000000">
        <w:rPr>
          <w:rFonts w:ascii="Times New Roman" w:cs="Times New Roman" w:eastAsia="Times New Roman" w:hAnsi="Times New Roman"/>
          <w:sz w:val="24"/>
          <w:szCs w:val="24"/>
          <w:highlight w:val="white"/>
          <w:rtl w:val="0"/>
        </w:rPr>
        <w:t xml:space="preserve">LWCF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grant assistance must conform to all environmental, cultural and planning laws applicable to the implementation of Program Open Space assisted projects.  Among these, the following laws should be specifically addressed in the grant applications: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Disabled Accessibility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Article 78A, §51 of the Annotated Code of Maryland, facilities for disabled persons, requires structures or improved areas owned or constructed by the State of Maryland or its political subdivisions as public parks and recreation centers to provide facilities for disabled persons.  This law specifically concerns toilet facilities, ramps, building entrances, drinking fountains, parking and walks.  Such facilities should be suitably marked by a symbol denoting “accessible to the physically disabled.”</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ffffff" w:val="clear"/>
        <w:tabs>
          <w:tab w:val="left" w:pos="-648"/>
          <w:tab w:val="left" w:pos="0"/>
          <w:tab w:val="left" w:pos="432"/>
          <w:tab w:val="left" w:pos="792"/>
          <w:tab w:val="left" w:pos="1152"/>
          <w:tab w:val="left" w:pos="1512"/>
          <w:tab w:val="left" w:pos="1872"/>
          <w:tab w:val="left" w:pos="2232"/>
          <w:tab w:val="left" w:pos="2592"/>
          <w:tab w:val="left" w:pos="2952"/>
          <w:tab w:val="left" w:pos="3312"/>
          <w:tab w:val="left" w:pos="3672"/>
          <w:tab w:val="left" w:pos="4032"/>
          <w:tab w:val="left" w:pos="4392"/>
          <w:tab w:val="left" w:pos="4752"/>
          <w:tab w:val="left" w:pos="5112"/>
          <w:tab w:val="left" w:pos="5472"/>
          <w:tab w:val="left" w:pos="5832"/>
          <w:tab w:val="left" w:pos="619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Nondiscrimination Policy.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Property acquired or developed with assistance from the Program shall be open to entry and use by all persons regardless of race, color, religion, sex, age, or national origin, who are otherwise eligible according to reasonable published rules applicable to the property involved.</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It is the mission of the Maryland Commission on Civil Rights to ensure opportunity for all through the enforcement of Maryland’s laws against discrimination in employment, housing, public accommodations, and state contracts; to provide educational outreach services related to provisions of this law; and to promote and improve civil rights in Maryland.</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333333"/>
          <w:sz w:val="24"/>
          <w:szCs w:val="24"/>
          <w:u w:val="none"/>
          <w:shd w:fill="auto" w:val="clear"/>
          <w:vertAlign w:val="baseline"/>
          <w:rtl w:val="0"/>
        </w:rPr>
        <w:t xml:space="preserve">State vision is one free from any trace of unlawful discrimination.</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ffffff" w:val="clear"/>
        <w:tabs>
          <w:tab w:val="left" w:pos="-648"/>
          <w:tab w:val="left" w:pos="0"/>
          <w:tab w:val="left" w:pos="612"/>
          <w:tab w:val="left" w:pos="1152"/>
          <w:tab w:val="left" w:pos="1692"/>
          <w:tab w:val="left" w:pos="2232"/>
          <w:tab w:val="left" w:pos="2592"/>
          <w:tab w:val="left" w:pos="2952"/>
          <w:tab w:val="left" w:pos="3312"/>
          <w:tab w:val="left" w:pos="3672"/>
          <w:tab w:val="left" w:pos="4032"/>
          <w:tab w:val="left" w:pos="4392"/>
          <w:tab w:val="left" w:pos="4752"/>
          <w:tab w:val="left" w:pos="5112"/>
          <w:tab w:val="left" w:pos="5472"/>
          <w:tab w:val="left" w:pos="5832"/>
          <w:tab w:val="left" w:pos="6192"/>
          <w:tab w:val="left" w:pos="655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The Forest Conservation 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Local Program Open Space grant assistance must be consistent with the Forest Conservation Act of 1991 (Natural Resources Article, Sections 5-1601 through 5-1613, Annotated Code of Maryland).  This law was enacted to protect the forests of Maryland by making forest conditions and character an integral part of the site planning process.  The law is administered by MD DNR but implemented primarily by local governments.  Local Program Open Space projects should be reviewed for conformance with the appropriate Forest</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Conservation Law Programs prior to submission for state review.  All Program Open Space projects are subject to review of applicability under the Forest Conservation Act.</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ffffff" w:val="clear"/>
        <w:tabs>
          <w:tab w:val="left" w:pos="-648"/>
          <w:tab w:val="left" w:pos="0"/>
          <w:tab w:val="left" w:pos="612"/>
          <w:tab w:val="left" w:pos="1152"/>
          <w:tab w:val="left" w:pos="1692"/>
          <w:tab w:val="left" w:pos="2232"/>
          <w:tab w:val="left" w:pos="2592"/>
          <w:tab w:val="left" w:pos="2952"/>
          <w:tab w:val="left" w:pos="3312"/>
          <w:tab w:val="left" w:pos="3672"/>
          <w:tab w:val="left" w:pos="4032"/>
          <w:tab w:val="left" w:pos="4392"/>
          <w:tab w:val="left" w:pos="4752"/>
          <w:tab w:val="left" w:pos="5112"/>
          <w:tab w:val="left" w:pos="5472"/>
          <w:tab w:val="left" w:pos="5832"/>
          <w:tab w:val="left" w:pos="6192"/>
          <w:tab w:val="left" w:pos="655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ffffff" w:val="clear"/>
        <w:tabs>
          <w:tab w:val="left" w:pos="-648"/>
          <w:tab w:val="left" w:pos="0"/>
          <w:tab w:val="left" w:pos="612"/>
          <w:tab w:val="left" w:pos="1152"/>
          <w:tab w:val="left" w:pos="1692"/>
          <w:tab w:val="left" w:pos="1872"/>
          <w:tab w:val="left" w:pos="2232"/>
          <w:tab w:val="left" w:pos="2952"/>
          <w:tab w:val="left" w:pos="3312"/>
          <w:tab w:val="left" w:pos="3672"/>
          <w:tab w:val="left" w:pos="4032"/>
          <w:tab w:val="left" w:pos="4392"/>
          <w:tab w:val="left" w:pos="4752"/>
          <w:tab w:val="left" w:pos="5112"/>
          <w:tab w:val="left" w:pos="5472"/>
          <w:tab w:val="left" w:pos="5832"/>
          <w:tab w:val="left" w:pos="6192"/>
          <w:tab w:val="left" w:pos="655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Historical and Cultural Impacts.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 to applying for Program Open Space assistance for an acquisition, development or capital rehabilitation project, the applicant should consult with the Maryland Historical Trust, Project Review and Compliance Program Division of Historical and Cultural Programs, Maryland Department of Planning (MDP), to determine if the Program Open Space capital project or projects will adversely affect any property listed in or eligible for the Maryland Register of Historic Properties.  (Article 83B, Title 5, Subtitle 6, Housing and Community Development, Annotated Code of Maryland).  Any applications for use of federal or state funds for development are subject to review and approval of the Trust through the MDP State Clearinghouse process.   Applicants are encouraged to seek early comments from the Trust on all projects listed in their Annual Program in order to avoid impacts on historic and cultural resources during project approval or implementation.</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fffff" w:val="clear"/>
        <w:tabs>
          <w:tab w:val="left" w:pos="-648"/>
          <w:tab w:val="left" w:pos="0"/>
          <w:tab w:val="left" w:pos="612"/>
          <w:tab w:val="left" w:pos="1152"/>
          <w:tab w:val="left" w:pos="1692"/>
          <w:tab w:val="left" w:pos="1872"/>
          <w:tab w:val="left" w:pos="2232"/>
          <w:tab w:val="left" w:pos="2952"/>
          <w:tab w:val="left" w:pos="3312"/>
          <w:tab w:val="left" w:pos="3672"/>
          <w:tab w:val="left" w:pos="4032"/>
          <w:tab w:val="left" w:pos="4392"/>
          <w:tab w:val="left" w:pos="4752"/>
          <w:tab w:val="left" w:pos="5112"/>
          <w:tab w:val="left" w:pos="5472"/>
          <w:tab w:val="left" w:pos="5832"/>
          <w:tab w:val="left" w:pos="6192"/>
          <w:tab w:val="left" w:pos="655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fffff" w:val="clear"/>
        <w:tabs>
          <w:tab w:val="left" w:pos="-648"/>
          <w:tab w:val="left" w:pos="0"/>
          <w:tab w:val="left" w:pos="612"/>
          <w:tab w:val="left" w:pos="1152"/>
          <w:tab w:val="left" w:pos="1692"/>
          <w:tab w:val="left" w:pos="1872"/>
          <w:tab w:val="left" w:pos="2232"/>
          <w:tab w:val="left" w:pos="2952"/>
          <w:tab w:val="left" w:pos="3312"/>
          <w:tab w:val="left" w:pos="3672"/>
          <w:tab w:val="left" w:pos="4032"/>
          <w:tab w:val="left" w:pos="4392"/>
          <w:tab w:val="left" w:pos="4752"/>
          <w:tab w:val="left" w:pos="5112"/>
          <w:tab w:val="left" w:pos="5472"/>
          <w:tab w:val="left" w:pos="5832"/>
          <w:tab w:val="left" w:pos="6192"/>
          <w:tab w:val="left" w:pos="655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ffffff" w:val="clear"/>
        <w:tabs>
          <w:tab w:val="left" w:pos="-648"/>
          <w:tab w:val="left" w:pos="0"/>
          <w:tab w:val="left" w:pos="612"/>
          <w:tab w:val="left" w:pos="1152"/>
          <w:tab w:val="left" w:pos="1692"/>
          <w:tab w:val="left" w:pos="1872"/>
          <w:tab w:val="left" w:pos="2232"/>
          <w:tab w:val="left" w:pos="2952"/>
          <w:tab w:val="left" w:pos="3312"/>
          <w:tab w:val="left" w:pos="3672"/>
          <w:tab w:val="left" w:pos="4032"/>
          <w:tab w:val="left" w:pos="4392"/>
          <w:tab w:val="left" w:pos="4752"/>
          <w:tab w:val="left" w:pos="5112"/>
          <w:tab w:val="left" w:pos="5472"/>
          <w:tab w:val="left" w:pos="5832"/>
          <w:tab w:val="left" w:pos="6192"/>
          <w:tab w:val="left" w:pos="655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9" w:type="default"/>
      <w:headerReference r:id="rId20" w:type="first"/>
      <w:headerReference r:id="rId21" w:type="even"/>
      <w:footerReference r:id="rId22" w:type="default"/>
      <w:footerReference r:id="rId23" w:type="first"/>
      <w:footerReference r:id="rId24" w:type="even"/>
      <w:pgSz w:h="15840" w:w="12240" w:orient="portrait"/>
      <w:pgMar w:bottom="1440" w:top="720" w:left="806" w:right="547"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i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ahoma" w:cs="Tahoma" w:eastAsia="Tahoma" w:hAnsi="Tahom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ahoma" w:cs="Tahoma" w:eastAsia="Tahoma" w:hAnsi="Tahom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ahoma" w:cs="Tahoma" w:eastAsia="Tahoma" w:hAnsi="Tahom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ahoma" w:cs="Tahoma" w:eastAsia="Tahoma" w:hAnsi="Tahom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ahoma" w:cs="Tahoma" w:eastAsia="Tahoma" w:hAnsi="Tahom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ahoma" w:cs="Tahoma" w:eastAsia="Tahoma" w:hAnsi="Tahom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ahoma" w:cs="Tahoma" w:eastAsia="Tahoma" w:hAnsi="Tahom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ahoma" w:cs="Tahoma" w:eastAsia="Tahoma" w:hAnsi="Tahom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ahoma" w:cs="Tahoma" w:eastAsia="Tahoma" w:hAnsi="Tahoma"/>
      <w:b w:val="1"/>
      <w:i w:val="0"/>
      <w:smallCaps w:val="0"/>
      <w:strike w:val="0"/>
      <w:color w:val="000000"/>
      <w:sz w:val="72"/>
      <w:szCs w:val="72"/>
      <w:u w:val="none"/>
      <w:shd w:fill="auto" w:val="clear"/>
      <w:vertAlign w:val="baseline"/>
    </w:rPr>
  </w:style>
  <w:style w:type="paragraph" w:styleId="Normal" w:default="1">
    <w:name w:val="Normal"/>
    <w:next w:val="normal0"/>
    <w:rsid w:val="00CC236A"/>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0"/>
    <w:next w:val="normal0"/>
    <w:rsid w:val="00CC236A"/>
    <w:pPr>
      <w:keepNext w:val="1"/>
      <w:keepLines w:val="1"/>
      <w:spacing w:after="120" w:before="480"/>
      <w:outlineLvl w:val="0"/>
    </w:pPr>
    <w:rPr>
      <w:b w:val="1"/>
      <w:sz w:val="48"/>
      <w:szCs w:val="48"/>
    </w:rPr>
  </w:style>
  <w:style w:type="paragraph" w:styleId="Heading2">
    <w:name w:val="heading 2"/>
    <w:basedOn w:val="normal0"/>
    <w:next w:val="normal0"/>
    <w:rsid w:val="00CC236A"/>
    <w:pPr>
      <w:keepNext w:val="1"/>
      <w:keepLines w:val="1"/>
      <w:spacing w:after="80" w:before="360"/>
      <w:outlineLvl w:val="1"/>
    </w:pPr>
    <w:rPr>
      <w:b w:val="1"/>
      <w:sz w:val="36"/>
      <w:szCs w:val="36"/>
    </w:rPr>
  </w:style>
  <w:style w:type="paragraph" w:styleId="Heading3">
    <w:name w:val="heading 3"/>
    <w:basedOn w:val="normal0"/>
    <w:next w:val="normal0"/>
    <w:rsid w:val="00CC236A"/>
    <w:pPr>
      <w:keepNext w:val="1"/>
      <w:keepLines w:val="1"/>
      <w:spacing w:after="80" w:before="280"/>
      <w:outlineLvl w:val="2"/>
    </w:pPr>
    <w:rPr>
      <w:b w:val="1"/>
      <w:sz w:val="28"/>
      <w:szCs w:val="28"/>
    </w:rPr>
  </w:style>
  <w:style w:type="paragraph" w:styleId="Heading4">
    <w:name w:val="heading 4"/>
    <w:basedOn w:val="normal0"/>
    <w:next w:val="normal0"/>
    <w:rsid w:val="00CC236A"/>
    <w:pPr>
      <w:keepNext w:val="1"/>
      <w:keepLines w:val="1"/>
      <w:spacing w:after="40" w:before="240"/>
      <w:outlineLvl w:val="3"/>
    </w:pPr>
    <w:rPr>
      <w:b w:val="1"/>
      <w:sz w:val="24"/>
      <w:szCs w:val="24"/>
    </w:rPr>
  </w:style>
  <w:style w:type="paragraph" w:styleId="Heading5">
    <w:name w:val="heading 5"/>
    <w:basedOn w:val="normal0"/>
    <w:next w:val="normal0"/>
    <w:rsid w:val="00CC236A"/>
    <w:pPr>
      <w:keepNext w:val="1"/>
      <w:keepLines w:val="1"/>
      <w:spacing w:after="40" w:before="220"/>
      <w:outlineLvl w:val="4"/>
    </w:pPr>
    <w:rPr>
      <w:b w:val="1"/>
      <w:sz w:val="22"/>
      <w:szCs w:val="22"/>
    </w:rPr>
  </w:style>
  <w:style w:type="paragraph" w:styleId="Heading6">
    <w:name w:val="heading 6"/>
    <w:basedOn w:val="normal0"/>
    <w:next w:val="normal0"/>
    <w:rsid w:val="00CC236A"/>
    <w:pPr>
      <w:keepNext w:val="1"/>
      <w:keepLines w:val="1"/>
      <w:spacing w:after="40" w:before="200"/>
      <w:outlineLvl w:val="5"/>
    </w:pPr>
    <w:rPr>
      <w:b w:val="1"/>
    </w:rPr>
  </w:style>
  <w:style w:type="paragraph" w:styleId="Heading7">
    <w:name w:val="heading 7"/>
    <w:basedOn w:val="Normal"/>
    <w:next w:val="Normal"/>
    <w:rsid w:val="00CC236A"/>
    <w:pPr>
      <w:keepNext w:val="1"/>
      <w:jc w:val="center"/>
      <w:outlineLvl w:val="6"/>
    </w:pPr>
    <w:rPr>
      <w:b w:val="1"/>
      <w:sz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CC236A"/>
  </w:style>
  <w:style w:type="paragraph" w:styleId="Title">
    <w:name w:val="Title"/>
    <w:basedOn w:val="normal0"/>
    <w:next w:val="normal0"/>
    <w:rsid w:val="00CC236A"/>
    <w:pPr>
      <w:keepNext w:val="1"/>
      <w:keepLines w:val="1"/>
      <w:spacing w:after="120" w:before="480"/>
    </w:pPr>
    <w:rPr>
      <w:b w:val="1"/>
      <w:sz w:val="72"/>
      <w:szCs w:val="72"/>
    </w:rPr>
  </w:style>
  <w:style w:type="paragraph" w:styleId="BalloonText">
    <w:name w:val="Balloon Text"/>
    <w:basedOn w:val="Normal"/>
    <w:rsid w:val="00CC236A"/>
    <w:rPr>
      <w:rFonts w:ascii="Lucida Grande" w:hAnsi="Lucida Grande"/>
      <w:sz w:val="18"/>
      <w:szCs w:val="18"/>
      <w:lang w:eastAsia="ja-JP"/>
    </w:rPr>
  </w:style>
  <w:style w:type="character" w:styleId="BalloonTextChar" w:customStyle="1">
    <w:name w:val="Balloon Text Char"/>
    <w:basedOn w:val="DefaultParagraphFont"/>
    <w:rsid w:val="00CC236A"/>
    <w:rPr>
      <w:rFonts w:ascii="Lucida Grande" w:hAnsi="Lucida Grande"/>
      <w:w w:val="100"/>
      <w:position w:val="-1"/>
      <w:sz w:val="18"/>
      <w:effect w:val="none"/>
      <w:vertAlign w:val="baseline"/>
      <w:cs w:val="0"/>
      <w:em w:val="none"/>
    </w:rPr>
  </w:style>
  <w:style w:type="paragraph" w:styleId="Header">
    <w:name w:val="header"/>
    <w:basedOn w:val="Normal"/>
    <w:rsid w:val="00CC236A"/>
  </w:style>
  <w:style w:type="character" w:styleId="HeaderChar" w:customStyle="1">
    <w:name w:val="Header Char"/>
    <w:basedOn w:val="DefaultParagraphFont"/>
    <w:rsid w:val="00CC236A"/>
    <w:rPr>
      <w:w w:val="100"/>
      <w:position w:val="-1"/>
      <w:effect w:val="none"/>
      <w:vertAlign w:val="baseline"/>
      <w:cs w:val="0"/>
      <w:em w:val="none"/>
    </w:rPr>
  </w:style>
  <w:style w:type="paragraph" w:styleId="Footer">
    <w:name w:val="footer"/>
    <w:basedOn w:val="Normal"/>
    <w:rsid w:val="00CC236A"/>
  </w:style>
  <w:style w:type="character" w:styleId="FooterChar" w:customStyle="1">
    <w:name w:val="Footer Char"/>
    <w:basedOn w:val="DefaultParagraphFont"/>
    <w:rsid w:val="00CC236A"/>
    <w:rPr>
      <w:w w:val="100"/>
      <w:position w:val="-1"/>
      <w:effect w:val="none"/>
      <w:vertAlign w:val="baseline"/>
      <w:cs w:val="0"/>
      <w:em w:val="none"/>
    </w:rPr>
  </w:style>
  <w:style w:type="character" w:styleId="Hyperlink">
    <w:name w:val="Hyperlink"/>
    <w:basedOn w:val="DefaultParagraphFont"/>
    <w:rsid w:val="00CC236A"/>
    <w:rPr>
      <w:color w:val="0000ff"/>
      <w:w w:val="100"/>
      <w:position w:val="-1"/>
      <w:u w:val="single"/>
      <w:effect w:val="none"/>
      <w:vertAlign w:val="baseline"/>
      <w:cs w:val="0"/>
      <w:em w:val="none"/>
    </w:rPr>
  </w:style>
  <w:style w:type="paragraph" w:styleId="ListParagraph">
    <w:name w:val="List Paragraph"/>
    <w:basedOn w:val="Normal"/>
    <w:rsid w:val="00CC236A"/>
    <w:pPr>
      <w:spacing w:after="200" w:line="276" w:lineRule="auto"/>
      <w:ind w:left="720"/>
      <w:contextualSpacing w:val="1"/>
    </w:pPr>
    <w:rPr>
      <w:rFonts w:ascii="Calibri" w:hAnsi="Calibri"/>
      <w:sz w:val="22"/>
      <w:szCs w:val="22"/>
    </w:rPr>
  </w:style>
  <w:style w:type="character" w:styleId="CommentReference">
    <w:name w:val="annotation reference"/>
    <w:basedOn w:val="DefaultParagraphFont"/>
    <w:rsid w:val="00CC236A"/>
    <w:rPr>
      <w:w w:val="100"/>
      <w:position w:val="-1"/>
      <w:sz w:val="16"/>
      <w:szCs w:val="16"/>
      <w:effect w:val="none"/>
      <w:vertAlign w:val="baseline"/>
      <w:cs w:val="0"/>
      <w:em w:val="none"/>
    </w:rPr>
  </w:style>
  <w:style w:type="paragraph" w:styleId="CommentText">
    <w:name w:val="annotation text"/>
    <w:basedOn w:val="Normal"/>
    <w:rsid w:val="00CC236A"/>
  </w:style>
  <w:style w:type="character" w:styleId="CommentTextChar" w:customStyle="1">
    <w:name w:val="Comment Text Char"/>
    <w:basedOn w:val="DefaultParagraphFont"/>
    <w:rsid w:val="00CC236A"/>
    <w:rPr>
      <w:w w:val="100"/>
      <w:position w:val="-1"/>
      <w:effect w:val="none"/>
      <w:vertAlign w:val="baseline"/>
      <w:cs w:val="0"/>
      <w:em w:val="none"/>
    </w:rPr>
  </w:style>
  <w:style w:type="paragraph" w:styleId="CommentSubject">
    <w:name w:val="annotation subject"/>
    <w:basedOn w:val="CommentText"/>
    <w:next w:val="CommentText"/>
    <w:rsid w:val="00CC236A"/>
    <w:rPr>
      <w:b w:val="1"/>
      <w:bCs w:val="1"/>
    </w:rPr>
  </w:style>
  <w:style w:type="character" w:styleId="CommentSubjectChar" w:customStyle="1">
    <w:name w:val="Comment Subject Char"/>
    <w:basedOn w:val="CommentTextChar"/>
    <w:rsid w:val="00CC236A"/>
    <w:rPr>
      <w:b w:val="1"/>
      <w:bCs w:val="1"/>
      <w:w w:val="100"/>
      <w:position w:val="-1"/>
      <w:effect w:val="none"/>
      <w:vertAlign w:val="baseline"/>
      <w:cs w:val="0"/>
      <w:em w:val="none"/>
    </w:rPr>
  </w:style>
  <w:style w:type="paragraph" w:styleId="POSHeader3" w:customStyle="1">
    <w:name w:val="POSHeader3"/>
    <w:basedOn w:val="Normal"/>
    <w:rsid w:val="00CC236A"/>
    <w:pPr>
      <w:shd w:color="auto" w:fill="ffffff" w:val="clear"/>
    </w:pPr>
    <w:rPr>
      <w:rFonts w:ascii="Arial" w:cs="Arial" w:eastAsia="Times New Roman" w:hAnsi="Arial"/>
      <w:b w:val="1"/>
      <w:bCs w:val="1"/>
      <w:color w:val="000000"/>
      <w:sz w:val="28"/>
      <w:szCs w:val="28"/>
    </w:rPr>
  </w:style>
  <w:style w:type="character" w:styleId="Heading7Char" w:customStyle="1">
    <w:name w:val="Heading 7 Char"/>
    <w:basedOn w:val="DefaultParagraphFont"/>
    <w:rsid w:val="00CC236A"/>
    <w:rPr>
      <w:b w:val="1"/>
      <w:w w:val="100"/>
      <w:position w:val="-1"/>
      <w:sz w:val="72"/>
      <w:szCs w:val="20"/>
      <w:effect w:val="none"/>
      <w:vertAlign w:val="baseline"/>
      <w:cs w:val="0"/>
      <w:em w:val="none"/>
    </w:rPr>
  </w:style>
  <w:style w:type="character" w:styleId="il" w:customStyle="1">
    <w:name w:val="il"/>
    <w:basedOn w:val="DefaultParagraphFont"/>
    <w:rsid w:val="00CC236A"/>
    <w:rPr>
      <w:w w:val="100"/>
      <w:position w:val="-1"/>
      <w:effect w:val="none"/>
      <w:vertAlign w:val="baseline"/>
      <w:cs w:val="0"/>
      <w:em w:val="none"/>
    </w:rPr>
  </w:style>
  <w:style w:type="paragraph" w:styleId="Default" w:customStyle="1">
    <w:name w:val="Default"/>
    <w:rsid w:val="00CC236A"/>
    <w:pPr>
      <w:suppressAutoHyphens w:val="1"/>
      <w:autoSpaceDE w:val="0"/>
      <w:autoSpaceDN w:val="0"/>
      <w:adjustRightInd w:val="0"/>
      <w:spacing w:line="1" w:lineRule="atLeast"/>
      <w:ind w:left="-1" w:leftChars="-1" w:hanging="1" w:hangingChars="1"/>
      <w:textDirection w:val="btLr"/>
      <w:textAlignment w:val="top"/>
      <w:outlineLvl w:val="0"/>
    </w:pPr>
    <w:rPr>
      <w:rFonts w:ascii="Calibri" w:cs="Calibri" w:eastAsia="Calibri" w:hAnsi="Calibri"/>
      <w:color w:val="000000"/>
      <w:position w:val="-1"/>
      <w:sz w:val="24"/>
      <w:szCs w:val="24"/>
    </w:rPr>
  </w:style>
  <w:style w:type="character" w:styleId="FollowedHyperlink">
    <w:name w:val="FollowedHyperlink"/>
    <w:basedOn w:val="DefaultParagraphFont"/>
    <w:qFormat w:val="1"/>
    <w:rsid w:val="00CC236A"/>
    <w:rPr>
      <w:color w:val="800080"/>
      <w:w w:val="100"/>
      <w:position w:val="-1"/>
      <w:u w:val="single"/>
      <w:effect w:val="none"/>
      <w:vertAlign w:val="baseline"/>
      <w:cs w:val="0"/>
      <w:em w:val="none"/>
    </w:rPr>
  </w:style>
  <w:style w:type="paragraph" w:styleId="NormalWeb">
    <w:name w:val="Normal (Web)"/>
    <w:basedOn w:val="Normal"/>
    <w:qFormat w:val="1"/>
    <w:rsid w:val="00CC236A"/>
    <w:pPr>
      <w:spacing w:after="100" w:afterAutospacing="1" w:before="100" w:beforeAutospacing="1"/>
    </w:pPr>
    <w:rPr>
      <w:rFonts w:ascii="Times New Roman" w:eastAsia="Times New Roman" w:hAnsi="Times New Roman"/>
      <w:sz w:val="24"/>
      <w:szCs w:val="24"/>
    </w:rPr>
  </w:style>
  <w:style w:type="character" w:styleId="Emphasis">
    <w:name w:val="Emphasis"/>
    <w:basedOn w:val="DefaultParagraphFont"/>
    <w:rsid w:val="00CC236A"/>
    <w:rPr>
      <w:i w:val="1"/>
      <w:iCs w:val="1"/>
      <w:w w:val="100"/>
      <w:position w:val="-1"/>
      <w:effect w:val="none"/>
      <w:vertAlign w:val="baseline"/>
      <w:cs w:val="0"/>
      <w:em w:val="none"/>
    </w:rPr>
  </w:style>
  <w:style w:type="paragraph" w:styleId="Subtitle">
    <w:name w:val="Subtitle"/>
    <w:basedOn w:val="Normal"/>
    <w:next w:val="Normal"/>
    <w:rsid w:val="00CC236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http://www.dcr.virginia.gov/recreational-planning/lwcfconuse" TargetMode="External"/><Relationship Id="rId18" Type="http://schemas.openxmlformats.org/officeDocument/2006/relationships/hyperlink" Target="https://www.nps.gov/subjects/lwcf/upload/LWCF-FA-Manual-Vol-71-3-11-2021-final.pdf" TargetMode="External"/><Relationship Id="rId8" Type="http://schemas.openxmlformats.org/officeDocument/2006/relationships/image" Target="media/image2.png"/><Relationship Id="rId26" Type="http://schemas.openxmlformats.org/officeDocument/2006/relationships/customXml" Target="../customXML/item3.xml"/><Relationship Id="rId21" Type="http://schemas.openxmlformats.org/officeDocument/2006/relationships/header" Target="header3.xml"/><Relationship Id="rId3" Type="http://schemas.openxmlformats.org/officeDocument/2006/relationships/fontTable" Target="fontTable.xml"/><Relationship Id="rId12" Type="http://schemas.openxmlformats.org/officeDocument/2006/relationships/hyperlink" Target="https://www.nps.gov/subjects/lwcf/upload/LWCF-FA-Manual-Vol-71-3-11-2021-final.pdf" TargetMode="External"/><Relationship Id="rId17" Type="http://schemas.openxmlformats.org/officeDocument/2006/relationships/hyperlink" Target="https://stg-dnr.maryland.gov/land/Pages/Stewardship/LPRP-2019-2023.aspx" TargetMode="External"/><Relationship Id="rId7" Type="http://schemas.openxmlformats.org/officeDocument/2006/relationships/image" Target="media/image1.png"/><Relationship Id="rId25" Type="http://schemas.openxmlformats.org/officeDocument/2006/relationships/customXml" Target="../customXML/item2.xml"/><Relationship Id="rId20"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dcr.virginia.gov/recreational-planning/lwcfconuse" TargetMode="External"/><Relationship Id="rId11" Type="http://schemas.openxmlformats.org/officeDocument/2006/relationships/hyperlink" Target="https://www.nps.gov/subjects/lwcf/upload/LWCF-FA-Manual-Vol-71-3-11-2021-final.pdf" TargetMode="External"/><Relationship Id="rId24" Type="http://schemas.openxmlformats.org/officeDocument/2006/relationships/footer" Target="footer2.xml"/><Relationship Id="rId1" Type="http://schemas.openxmlformats.org/officeDocument/2006/relationships/theme" Target="theme/theme1.xml"/><Relationship Id="rId6" Type="http://schemas.openxmlformats.org/officeDocument/2006/relationships/customXml" Target="../customXML/item1.xml"/><Relationship Id="rId23" Type="http://schemas.openxmlformats.org/officeDocument/2006/relationships/footer" Target="footer3.xml"/><Relationship Id="rId15" Type="http://schemas.openxmlformats.org/officeDocument/2006/relationships/hyperlink" Target="http://www.dcr.virginia.gov/recreational-planning/lwcfconuse" TargetMode="External"/><Relationship Id="rId5" Type="http://schemas.openxmlformats.org/officeDocument/2006/relationships/styles" Target="styles.xml"/><Relationship Id="rId10" Type="http://schemas.openxmlformats.org/officeDocument/2006/relationships/hyperlink" Target="https://www.nps.gov/subjects/lwcf/upload/LWCF-FA-Manual-Vol-71-3-11-2021-final.pdf" TargetMode="External"/><Relationship Id="rId19" Type="http://schemas.openxmlformats.org/officeDocument/2006/relationships/header" Target="header2.xml"/><Relationship Id="rId2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hyperlink" Target="https://www.nps.gov/subjects/lwcf/lwcf-manual.htm" TargetMode="External"/><Relationship Id="rId27"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65F5A8E391D24E991AFAD06602F7E3" ma:contentTypeVersion="3" ma:contentTypeDescription="Create a new document." ma:contentTypeScope="" ma:versionID="57f66932315159d833eb3de827726ae7">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rBBYn4rnbZ8ilOfKLJbxZR52m8w==">AMUW2mUKcvO2qgfnyLXtWAw7Nwg1Pn4zlASCpaIRO8FwTRH1kLfvz/JAnVY0lJbzEAPH+BCb8lD1myURsiCQJ72CMyML5wG7RHzClSYGxzHzt6R8DSnzCRIHlDTsvfuv4fDsgRaoYlrh</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2E5B4D5-4066-47A8-A857-F2AB465AB00F}"/>
</file>

<file path=customXML/itemProps2.xml><?xml version="1.0" encoding="utf-8"?>
<ds:datastoreItem xmlns:ds="http://schemas.openxmlformats.org/officeDocument/2006/customXml" ds:itemID="{04A12EB0-A392-43F6-B4F9-BFFD93787E6E}"/>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0BDC2147-4F55-4A89-AE48-95D25A856C6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Dorrill, Lauren L</dc:creator>
  <dcterms:created xsi:type="dcterms:W3CDTF">2019-07-31T17:15:00Z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42500.0000000000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_SourceUrl">
    <vt:lpwstr/>
  </property>
  <property fmtid="{D5CDD505-2E9C-101B-9397-08002B2CF9AE}" pid="9" name="ContentTypeId">
    <vt:lpwstr>0x0101005565F5A8E391D24E991AFAD06602F7E3</vt:lpwstr>
  </property>
</Properties>
</file>